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Inorganic synthesis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20D">
              <w:rPr>
                <w:rFonts w:asciiTheme="majorHAnsi" w:hAnsiTheme="majorHAnsi" w:cs="Arial"/>
                <w:b/>
                <w:sz w:val="18"/>
                <w:szCs w:val="18"/>
              </w:rPr>
              <w:t>AS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653124">
                    <w:rPr>
                      <w:rFonts w:asciiTheme="majorHAnsi" w:hAnsiTheme="majorHAnsi" w:cs="Arial"/>
                      <w:b/>
                      <w:sz w:val="18"/>
                      <w:szCs w:val="18"/>
                    </w:rPr>
                  </w:r>
                  <w:r w:rsidR="00653124">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74,40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10</w:t>
            </w:r>
            <w:r w:rsidR="00F0620D">
              <w:rPr>
                <w:rFonts w:asciiTheme="majorHAnsi" w:hAnsiTheme="majorHAnsi" w:cs="Arial"/>
                <w:b/>
                <w:sz w:val="18"/>
                <w:szCs w:val="18"/>
              </w:rPr>
              <w:t>8</w:t>
            </w:r>
            <w:r w:rsidR="00AE5280">
              <w:rPr>
                <w:rFonts w:asciiTheme="majorHAnsi" w:hAnsiTheme="majorHAnsi" w:cs="Arial"/>
                <w:b/>
                <w:sz w:val="18"/>
                <w:szCs w:val="18"/>
              </w:rPr>
              <w:t>,</w:t>
            </w:r>
            <w:r w:rsidR="00F0620D">
              <w:rPr>
                <w:rFonts w:asciiTheme="majorHAnsi" w:hAnsiTheme="majorHAnsi" w:cs="Arial"/>
                <w:b/>
                <w:sz w:val="18"/>
                <w:szCs w:val="18"/>
              </w:rPr>
              <w:t>15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DD5399">
              <w:rPr>
                <w:rFonts w:asciiTheme="majorHAnsi" w:hAnsiTheme="majorHAnsi" w:cs="Arial"/>
                <w:b/>
                <w:sz w:val="18"/>
                <w:szCs w:val="18"/>
              </w:rPr>
              <w:t>Aldina Kesić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The goal of the "Inorganic Synthesis" module is to introduce students to ways of designing a synthetic route in inorganic chemistry and to the relationships between synthesis, structure and properties, as well as the characterization of the resulting products.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Through the implementation of the set goals and tasks in this module, students will master the knowledge of synthetic routes in inorganic chemistry. Developing awareness of the importance of these studies, and of the dependence of the properties and structure of final products on the synthetic route itself, is also an important outcome of studying the subject of Inorganic Synthesis.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0620D" w:rsidRPr="00F0620D"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Synthesis planning</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Quantitative parameters of the synthetic route</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Design of the synthetic route</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Study of the relationship between synthesis, structure and properties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Methods of obtaining and separating inorganic substances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General procedures of the synthetic route</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Electrochemical syntheses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Syntheses in non-aqueous solvents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Solvothermal and hydrothermal syntheses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Ion exchange method</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Solvent extraction</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Chromatography</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High vacuum technique</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Inert atmosphere technique</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Crystalization and crystal structure of inorganic substances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Methods of preparing single crystals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Identification and formulation of products</w:t>
            </w:r>
          </w:p>
          <w:p w:rsidR="00F0620D" w:rsidRPr="00F0620D"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Chemical analysis of synthesis products</w:t>
            </w:r>
          </w:p>
          <w:p w:rsidR="00CB72ED" w:rsidRPr="00B96B4F" w:rsidRDefault="00F0620D" w:rsidP="00F0620D">
            <w:pPr>
              <w:pStyle w:val="NoSpacing"/>
              <w:rPr>
                <w:rFonts w:asciiTheme="majorHAnsi" w:hAnsiTheme="majorHAnsi" w:cs="Arial"/>
                <w:b/>
                <w:sz w:val="18"/>
                <w:szCs w:val="18"/>
              </w:rPr>
            </w:pPr>
            <w:r w:rsidRPr="00F0620D">
              <w:rPr>
                <w:rFonts w:asciiTheme="majorHAnsi" w:hAnsiTheme="majorHAnsi" w:cs="Arial"/>
                <w:b/>
                <w:sz w:val="18"/>
                <w:szCs w:val="18"/>
              </w:rPr>
              <w:t>Purity determination by spectrophotometric, diffraction and thermal methodsIn order to effectively deliver teaching and achieve the expected course objectives and student competencies at the end of the semester, various teaching methods are used during the course: - lectures (L) using multimedia tools, active learning techniques and with active student participation and discussions -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To check the acquired knowledge in the subject for students taking the course, the following methods are used: - written and/or - oral. Written methods include written knowledge testing in tests (mini exams) after certain areas of the curriculum. Written exams include separate taking of the part related to solving examples/tasks and the part related to knowledge of the theory of the acquired area. The oral part of the knowledge test includes the defense of a team project through a presentation and other forms of verbal communication through interactive work. Oral exam If a student is not satisfied with the grade or number of points during the entire teaching process and the organization of final exams, he/she may request an additional oral knowledge test from the segment in which he/she wants to improve his/her results. The subject teacher may, if deemed necessary, request that the student's complaint about the grade be resolved by repeating the knowledge test in the manner in which it was originally done, taking into account the merits of the complaint. The oral test of knowledge and skills will be organized as a shorter discussion, 15-30 minutes, with a review of the core of the course or as a test with offered questions, and based on the results, students will be suggested a way to resolve the appeal on the number of points earned.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BF3CAF">
              <w:rPr>
                <w:rFonts w:asciiTheme="majorHAnsi" w:hAnsiTheme="majorHAnsi" w:cs="Arial"/>
                <w:b/>
                <w:sz w:val="18"/>
                <w:szCs w:val="18"/>
              </w:rPr>
              <w:t>3</w:t>
            </w:r>
            <w:r w:rsidR="00A46CB1" w:rsidRPr="00A46CB1">
              <w:rPr>
                <w:rFonts w:asciiTheme="majorHAnsi" w:hAnsiTheme="majorHAnsi" w:cs="Arial"/>
                <w:b/>
                <w:sz w:val="18"/>
                <w:szCs w:val="18"/>
              </w:rPr>
              <w:t xml:space="preserve">0%, Seminar work: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1. Emira Kahrović, Uvod u eksperimentalnu anorgansku hemiju, Prirodno-matematiĉki fakultet, 2011.</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F062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sidRPr="00F0620D">
              <w:rPr>
                <w:rFonts w:asciiTheme="majorHAnsi" w:hAnsiTheme="majorHAnsi" w:cs="Arial"/>
                <w:b/>
                <w:sz w:val="18"/>
                <w:szCs w:val="18"/>
              </w:rPr>
              <w:t>1.G. S. Girolami, T. T. B. Rauchfuss, R. J. Angelici, Synthesis and technique in inorganic chemistry; University Science Books; 1999</w:t>
            </w:r>
            <w:r w:rsidR="00BF3CAF" w:rsidRPr="00BF3CAF">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124" w:rsidRDefault="00653124">
      <w:pPr>
        <w:spacing w:line="240" w:lineRule="auto"/>
      </w:pPr>
      <w:r>
        <w:separator/>
      </w:r>
    </w:p>
  </w:endnote>
  <w:endnote w:type="continuationSeparator" w:id="0">
    <w:p w:rsidR="00653124" w:rsidRDefault="00653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B09D5">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B09D5">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B09D5">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124" w:rsidRDefault="00653124">
      <w:pPr>
        <w:spacing w:after="0"/>
      </w:pPr>
      <w:r>
        <w:separator/>
      </w:r>
    </w:p>
  </w:footnote>
  <w:footnote w:type="continuationSeparator" w:id="0">
    <w:p w:rsidR="00653124" w:rsidRDefault="006531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124"/>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0F20"/>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09D5"/>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CF20C-37B2-4B28-9C4E-7F74E29C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2026-03-13T09:33:00Z</dcterms:created>
  <dcterms:modified xsi:type="dcterms:W3CDTF">2026-03-13T09:33:00Z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